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313" w:beforeLines="100" w:after="625" w:afterLines="200"/>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社会服务机构开展非营利法人对照检查情况表</w:t>
      </w:r>
    </w:p>
    <w:p>
      <w:pPr>
        <w:keepNext w:val="0"/>
        <w:keepLines w:val="0"/>
        <w:pageBreakBefore w:val="0"/>
        <w:widowControl w:val="0"/>
        <w:kinsoku/>
        <w:wordWrap/>
        <w:overflowPunct/>
        <w:topLinePunct w:val="0"/>
        <w:autoSpaceDE/>
        <w:autoSpaceDN/>
        <w:bidi w:val="0"/>
        <w:adjustRightInd/>
        <w:snapToGrid/>
        <w:spacing w:after="625" w:afterLines="200"/>
        <w:ind w:firstLine="320" w:firstLineChars="1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机构（盖章）</w:t>
      </w:r>
      <w:r>
        <w:rPr>
          <w:rFonts w:hint="eastAsia" w:ascii="Times New Roman" w:hAnsi="Times New Roman" w:eastAsia="仿宋_GB2312" w:cs="Times New Roman"/>
          <w:sz w:val="32"/>
          <w:szCs w:val="32"/>
          <w:lang w:val="en-US" w:eastAsia="zh-CN"/>
        </w:rPr>
        <w:t xml:space="preserve">                    业务主管单位（盖章）</w:t>
      </w:r>
    </w:p>
    <w:tbl>
      <w:tblPr>
        <w:tblStyle w:val="4"/>
        <w:tblW w:w="10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6481"/>
        <w:gridCol w:w="154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6481" w:type="dxa"/>
            <w:noWrap w:val="0"/>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问题情形</w:t>
            </w:r>
          </w:p>
        </w:tc>
        <w:tc>
          <w:tcPr>
            <w:tcW w:w="1545" w:type="dxa"/>
            <w:noWrap w:val="0"/>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是否存在</w:t>
            </w:r>
          </w:p>
        </w:tc>
        <w:tc>
          <w:tcPr>
            <w:tcW w:w="1515" w:type="dxa"/>
            <w:noWrap w:val="0"/>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是否整改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1</w:t>
            </w:r>
          </w:p>
        </w:tc>
        <w:tc>
          <w:tcPr>
            <w:tcW w:w="64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sz w:val="32"/>
                <w:szCs w:val="32"/>
                <w:lang w:val="en-US" w:eastAsia="zh-CN"/>
              </w:rPr>
              <w:t>违反开办资金为捐助财产要求，违规向出资人等返还开办资金的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2</w:t>
            </w:r>
          </w:p>
        </w:tc>
        <w:tc>
          <w:tcPr>
            <w:tcW w:w="64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财务收支未全部纳入本组织法定账簿核算、将本组织财务收支与其他组织收支混管或者将以本组织名义开展活动的收入交由其他组织或个人收取的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3</w:t>
            </w:r>
          </w:p>
        </w:tc>
        <w:tc>
          <w:tcPr>
            <w:tcW w:w="6481" w:type="dxa"/>
            <w:noWrap w:val="0"/>
            <w:vAlign w:val="top"/>
          </w:tcPr>
          <w:p>
            <w:pP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使用其他组织或个人银行账户进行账务往来的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4</w:t>
            </w:r>
          </w:p>
        </w:tc>
        <w:tc>
          <w:tcPr>
            <w:tcW w:w="64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未按照《民间非营利组织会计制度》相关规定对投资收益进行核算的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5</w:t>
            </w:r>
          </w:p>
        </w:tc>
        <w:tc>
          <w:tcPr>
            <w:tcW w:w="6481" w:type="dxa"/>
            <w:noWrap w:val="0"/>
            <w:vAlign w:val="top"/>
          </w:tcPr>
          <w:p>
            <w:pP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sz w:val="32"/>
                <w:szCs w:val="32"/>
                <w:lang w:val="en-US" w:eastAsia="zh-CN"/>
              </w:rPr>
              <w:t>支出超出章程规定的业务活动范围的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6</w:t>
            </w:r>
          </w:p>
        </w:tc>
        <w:tc>
          <w:tcPr>
            <w:tcW w:w="64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向出资人、举办者、捐赠人、理事、监事等分配或者变相分配本组织财产的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7</w:t>
            </w:r>
          </w:p>
        </w:tc>
        <w:tc>
          <w:tcPr>
            <w:tcW w:w="64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通过虚增业务活动成本、虚假发放工作人员费用、专家费用等方式分配或者变相分配本组织财产的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8</w:t>
            </w:r>
          </w:p>
        </w:tc>
        <w:tc>
          <w:tcPr>
            <w:tcW w:w="64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兼职理事、监事参加决策、监督等履职行为时以劳务费、专家费等方式领取报酬的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9</w:t>
            </w:r>
          </w:p>
        </w:tc>
        <w:tc>
          <w:tcPr>
            <w:tcW w:w="64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假借“公益”“免费”等名义违规为企业或产品开展宣传、促销等活动的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10</w:t>
            </w:r>
          </w:p>
        </w:tc>
        <w:tc>
          <w:tcPr>
            <w:tcW w:w="64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将大额财产长期无偿交由或出借给其他组织、个人不收回的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11</w:t>
            </w:r>
          </w:p>
        </w:tc>
        <w:tc>
          <w:tcPr>
            <w:tcW w:w="64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与关联方发生交易时未履行内部决策程序、价格不公允，或者未按照《民间非营利组织会计制度》和《〈民间非营利组织会计制度〉若干问题的解释》在会计报表附注中披露关联方关系的性质、交易类型及交易要素等信息的</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12</w:t>
            </w:r>
          </w:p>
        </w:tc>
        <w:tc>
          <w:tcPr>
            <w:tcW w:w="6481" w:type="dxa"/>
            <w:noWrap w:val="0"/>
            <w:vAlign w:val="top"/>
          </w:tcPr>
          <w:p>
            <w:pP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sz w:val="32"/>
                <w:szCs w:val="32"/>
                <w:lang w:val="en-US" w:eastAsia="zh-CN"/>
              </w:rPr>
              <w:t>具有其他违反非营利属性要求的行为</w:t>
            </w:r>
          </w:p>
        </w:tc>
        <w:tc>
          <w:tcPr>
            <w:tcW w:w="1545" w:type="dxa"/>
            <w:noWrap w:val="0"/>
            <w:vAlign w:val="top"/>
          </w:tcPr>
          <w:p>
            <w:pPr>
              <w:rPr>
                <w:rFonts w:hint="default" w:ascii="Times New Roman" w:hAnsi="Times New Roman" w:eastAsia="仿宋_GB2312" w:cs="Times New Roman"/>
                <w:sz w:val="32"/>
                <w:szCs w:val="32"/>
                <w:vertAlign w:val="baseline"/>
                <w:lang w:val="en-US" w:eastAsia="zh-CN"/>
              </w:rPr>
            </w:pPr>
          </w:p>
        </w:tc>
        <w:tc>
          <w:tcPr>
            <w:tcW w:w="1515" w:type="dxa"/>
            <w:noWrap w:val="0"/>
            <w:vAlign w:val="top"/>
          </w:tcPr>
          <w:p>
            <w:pPr>
              <w:rPr>
                <w:rFonts w:hint="default"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0" w:type="dxa"/>
            <w:gridSpan w:val="4"/>
            <w:noWrap w:val="0"/>
            <w:vAlign w:val="center"/>
          </w:tcPr>
          <w:p>
            <w:pPr>
              <w:jc w:val="center"/>
              <w:rPr>
                <w:rFonts w:hint="default" w:ascii="Times New Roman" w:hAnsi="Times New Roman" w:eastAsia="仿宋_GB2312" w:cs="Times New Roman"/>
                <w:sz w:val="32"/>
                <w:szCs w:val="32"/>
                <w:vertAlign w:val="baseline"/>
                <w:lang w:val="en-US" w:eastAsia="zh-CN"/>
              </w:rPr>
            </w:pPr>
            <w:r>
              <w:rPr>
                <w:rFonts w:hint="eastAsia" w:ascii="黑体" w:hAnsi="黑体" w:eastAsia="黑体" w:cs="黑体"/>
                <w:sz w:val="32"/>
                <w:szCs w:val="32"/>
                <w:vertAlign w:val="baseline"/>
                <w:lang w:val="en-US" w:eastAsia="zh-CN"/>
              </w:rPr>
              <w:t>改进情况或特殊情况说明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10230" w:type="dxa"/>
            <w:gridSpan w:val="4"/>
            <w:noWrap w:val="0"/>
            <w:vAlign w:val="center"/>
          </w:tcPr>
          <w:p>
            <w:pPr>
              <w:rPr>
                <w:rFonts w:hint="default" w:ascii="Times New Roman" w:hAnsi="Times New Roman" w:eastAsia="仿宋_GB2312" w:cs="Times New Roman"/>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5440" w:hanging="5440" w:hangingChars="1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 xml:space="preserve">                             联系电话：                                                   </w:t>
      </w:r>
    </w:p>
    <w:p>
      <w:pPr>
        <w:keepNext w:val="0"/>
        <w:keepLines w:val="0"/>
        <w:pageBreakBefore w:val="0"/>
        <w:widowControl w:val="0"/>
        <w:kinsoku/>
        <w:wordWrap/>
        <w:overflowPunct/>
        <w:topLinePunct w:val="0"/>
        <w:autoSpaceDE/>
        <w:autoSpaceDN/>
        <w:bidi w:val="0"/>
        <w:adjustRightInd/>
        <w:snapToGrid/>
        <w:spacing w:line="600" w:lineRule="exact"/>
        <w:ind w:left="5439" w:leftChars="152" w:hanging="5120" w:hangingChars="16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5426" w:leftChars="2584"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sectPr>
      <w:footerReference r:id="rId3" w:type="default"/>
      <w:pgSz w:w="11906" w:h="16838"/>
      <w:pgMar w:top="2098" w:right="1474" w:bottom="1984" w:left="1587" w:header="680" w:footer="1276"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ZGI1M2NkMzRmNzhjYjg4MmE1NzA2NTZkOWM4ZmQifQ=="/>
  </w:docVars>
  <w:rsids>
    <w:rsidRoot w:val="00000000"/>
    <w:rsid w:val="5A1E2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2022-06-07T06:24:44Z</dcterms:created>
  <dc:creator>Administrator</dc:creator>
  <cp:lastModifiedBy>吴晓鹏</cp:lastModifiedBy>
  <dcterms:modified xsi:type="dcterms:W3CDTF">2022-06-07T06:24:50Z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A9659DA9348340D38C445A1061E110BC</vt:lpwstr>
  </property>
</Properties>
</file>